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63" w:rsidRDefault="00D82F09">
      <w:pPr>
        <w:jc w:val="center"/>
      </w:pPr>
      <w:r>
        <w:rPr>
          <w:noProof/>
        </w:rPr>
        <w:drawing>
          <wp:inline distT="0" distB="0" distL="0" distR="0">
            <wp:extent cx="5143500" cy="1860550"/>
            <wp:effectExtent l="0" t="0" r="0" b="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5143500" cy="1860550"/>
                    </a:xfrm>
                    <a:prstGeom prst="rect">
                      <a:avLst/>
                    </a:prstGeom>
                    <a:ln/>
                  </pic:spPr>
                </pic:pic>
              </a:graphicData>
            </a:graphic>
          </wp:inline>
        </w:drawing>
      </w:r>
    </w:p>
    <w:p w:rsidR="00121163" w:rsidRDefault="00D82F09">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Le 8 juillet 2021</w:t>
      </w:r>
    </w:p>
    <w:p w:rsidR="00121163" w:rsidRDefault="00121163">
      <w:pPr>
        <w:spacing w:line="360" w:lineRule="auto"/>
        <w:jc w:val="both"/>
        <w:rPr>
          <w:rFonts w:ascii="Times New Roman" w:eastAsia="Times New Roman" w:hAnsi="Times New Roman" w:cs="Times New Roman"/>
          <w:b/>
          <w:sz w:val="24"/>
          <w:szCs w:val="24"/>
        </w:rPr>
      </w:pPr>
    </w:p>
    <w:p w:rsidR="00121163" w:rsidRDefault="00D82F09">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 : demande d’intervention urgente pour améliorer la qualité de l’air en milieu scolaire </w:t>
      </w:r>
    </w:p>
    <w:p w:rsidR="00121163" w:rsidRDefault="00D82F0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Madame, Monsieur ….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par la présente, je vous demande de prendre les dispositions nécessaires pour garantir la qualité de l’air intérieur dans l’école/collège/lycée ………………… afin de :</w:t>
      </w:r>
    </w:p>
    <w:p w:rsidR="00121163" w:rsidRDefault="00D82F09">
      <w:pPr>
        <w:numPr>
          <w:ilvl w:val="0"/>
          <w:numId w:val="1"/>
        </w:numPr>
        <w:pBdr>
          <w:top w:val="nil"/>
          <w:left w:val="nil"/>
          <w:bottom w:val="nil"/>
          <w:right w:val="nil"/>
          <w:between w:val="nil"/>
        </w:pBdr>
        <w:spacing w:after="0" w:line="288" w:lineRule="auto"/>
        <w:ind w:left="714" w:hanging="35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minimiser</w:t>
      </w:r>
      <w:proofErr w:type="gramEnd"/>
      <w:r>
        <w:rPr>
          <w:rFonts w:ascii="Times New Roman" w:eastAsia="Times New Roman" w:hAnsi="Times New Roman" w:cs="Times New Roman"/>
          <w:sz w:val="24"/>
          <w:szCs w:val="24"/>
        </w:rPr>
        <w:t xml:space="preserve"> les contaminations de COVID19 et de toutes les autres</w:t>
      </w:r>
      <w:r>
        <w:rPr>
          <w:rFonts w:ascii="Times New Roman" w:eastAsia="Times New Roman" w:hAnsi="Times New Roman" w:cs="Times New Roman"/>
          <w:sz w:val="24"/>
          <w:szCs w:val="24"/>
        </w:rPr>
        <w:t xml:space="preserve"> viroses, notamment hivernales, transmises par voie aérienne et aérosols</w:t>
      </w:r>
    </w:p>
    <w:p w:rsidR="00121163" w:rsidRDefault="00121163">
      <w:pPr>
        <w:spacing w:after="0" w:line="288" w:lineRule="auto"/>
        <w:jc w:val="both"/>
        <w:rPr>
          <w:rFonts w:ascii="Times New Roman" w:eastAsia="Times New Roman" w:hAnsi="Times New Roman" w:cs="Times New Roman"/>
          <w:sz w:val="10"/>
          <w:szCs w:val="10"/>
        </w:rPr>
      </w:pPr>
    </w:p>
    <w:p w:rsidR="00121163" w:rsidRDefault="00D82F09">
      <w:pPr>
        <w:numPr>
          <w:ilvl w:val="0"/>
          <w:numId w:val="1"/>
        </w:numPr>
        <w:pBdr>
          <w:top w:val="nil"/>
          <w:left w:val="nil"/>
          <w:bottom w:val="nil"/>
          <w:right w:val="nil"/>
          <w:between w:val="nil"/>
        </w:pBdr>
        <w:spacing w:after="0" w:line="288"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favoriser les apprentissages,  rendus plus difficiles par des taux élevés de CO2</w:t>
      </w:r>
      <w:r>
        <w:rPr>
          <w:vertAlign w:val="superscript"/>
        </w:rPr>
        <w:footnoteReference w:id="1"/>
      </w:r>
    </w:p>
    <w:p w:rsidR="00121163" w:rsidRDefault="00121163">
      <w:pPr>
        <w:spacing w:after="0" w:line="288" w:lineRule="auto"/>
        <w:jc w:val="both"/>
        <w:rPr>
          <w:rFonts w:ascii="Times New Roman" w:eastAsia="Times New Roman" w:hAnsi="Times New Roman" w:cs="Times New Roman"/>
          <w:sz w:val="10"/>
          <w:szCs w:val="10"/>
        </w:rPr>
      </w:pPr>
    </w:p>
    <w:p w:rsidR="00121163" w:rsidRDefault="00D82F09">
      <w:pPr>
        <w:numPr>
          <w:ilvl w:val="0"/>
          <w:numId w:val="1"/>
        </w:numPr>
        <w:pBdr>
          <w:top w:val="nil"/>
          <w:left w:val="nil"/>
          <w:bottom w:val="nil"/>
          <w:right w:val="nil"/>
          <w:between w:val="nil"/>
        </w:pBdr>
        <w:spacing w:after="0" w:line="288"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respecter les recommandations du Ministère de l’Education Nationale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121163" w:rsidRDefault="00121163">
      <w:pPr>
        <w:spacing w:after="0" w:line="288" w:lineRule="auto"/>
        <w:jc w:val="both"/>
        <w:rPr>
          <w:rFonts w:ascii="Times New Roman" w:eastAsia="Times New Roman" w:hAnsi="Times New Roman" w:cs="Times New Roman"/>
          <w:sz w:val="10"/>
          <w:szCs w:val="10"/>
        </w:rPr>
      </w:pPr>
    </w:p>
    <w:p w:rsidR="00121163" w:rsidRDefault="00D82F09">
      <w:pPr>
        <w:numPr>
          <w:ilvl w:val="0"/>
          <w:numId w:val="1"/>
        </w:numPr>
        <w:pBdr>
          <w:top w:val="nil"/>
          <w:left w:val="nil"/>
          <w:bottom w:val="nil"/>
          <w:right w:val="nil"/>
          <w:between w:val="nil"/>
        </w:pBdr>
        <w:spacing w:after="240" w:line="288" w:lineRule="auto"/>
        <w:ind w:left="714"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respecter la loi n°2010-788 du 12 juillet 2010 stipulant que la surveillance de la qualité de l’air est une obligation réglementaire, notamment dans les écoles, collèges et lycées, et conseillent l’utilisation de détecteurs de CO</w:t>
      </w:r>
      <w:r>
        <w:rPr>
          <w:rFonts w:ascii="Times New Roman" w:eastAsia="Times New Roman" w:hAnsi="Times New Roman" w:cs="Times New Roman"/>
          <w:sz w:val="24"/>
          <w:szCs w:val="24"/>
          <w:vertAlign w:val="subscript"/>
        </w:rPr>
        <w:t>2</w:t>
      </w:r>
      <w:r>
        <w:rPr>
          <w:vertAlign w:val="superscript"/>
        </w:rPr>
        <w:footnoteReference w:id="3"/>
      </w:r>
    </w:p>
    <w:p w:rsidR="00121163" w:rsidRDefault="00D82F09">
      <w:pPr>
        <w:tabs>
          <w:tab w:val="left" w:pos="111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Pour atteindre ces </w:t>
      </w:r>
      <w:proofErr w:type="gramStart"/>
      <w:r>
        <w:rPr>
          <w:rFonts w:ascii="Times New Roman" w:eastAsia="Times New Roman" w:hAnsi="Times New Roman" w:cs="Times New Roman"/>
          <w:sz w:val="24"/>
          <w:szCs w:val="24"/>
        </w:rPr>
        <w:t xml:space="preserve">objectifs,   </w:t>
      </w:r>
      <w:proofErr w:type="gramEnd"/>
      <w:r>
        <w:rPr>
          <w:rFonts w:ascii="Times New Roman" w:eastAsia="Times New Roman" w:hAnsi="Times New Roman" w:cs="Times New Roman"/>
          <w:sz w:val="24"/>
          <w:szCs w:val="24"/>
        </w:rPr>
        <w:t>il est nécessaire d’installer des détecteurs de CO</w:t>
      </w:r>
      <w:r>
        <w:rPr>
          <w:rFonts w:ascii="Times New Roman" w:eastAsia="Times New Roman" w:hAnsi="Times New Roman" w:cs="Times New Roman"/>
          <w:sz w:val="24"/>
          <w:szCs w:val="24"/>
          <w:vertAlign w:val="subscript"/>
        </w:rPr>
        <w:t>2</w:t>
      </w:r>
      <w:r>
        <w:rPr>
          <w:rFonts w:ascii="Times New Roman" w:eastAsia="Times New Roman" w:hAnsi="Times New Roman" w:cs="Times New Roman"/>
          <w:sz w:val="24"/>
          <w:szCs w:val="24"/>
        </w:rPr>
        <w:t xml:space="preserve"> dans les classes et des purificateurs d’air à filtre HEPA, à minima dans les cantines et dans  tous les locaux où les seuils de concentration de CO2 recommandés ne sont pas</w:t>
      </w:r>
      <w:r>
        <w:rPr>
          <w:rFonts w:ascii="Times New Roman" w:eastAsia="Times New Roman" w:hAnsi="Times New Roman" w:cs="Times New Roman"/>
          <w:sz w:val="24"/>
          <w:szCs w:val="24"/>
        </w:rPr>
        <w:t xml:space="preserve"> atteignables. Pour une documentation complète sur cette démarche, je vous recommande les sites </w:t>
      </w:r>
      <w:hyperlink r:id="rId10">
        <w:r>
          <w:rPr>
            <w:rFonts w:ascii="Times New Roman" w:eastAsia="Times New Roman" w:hAnsi="Times New Roman" w:cs="Times New Roman"/>
            <w:sz w:val="24"/>
            <w:szCs w:val="24"/>
            <w:u w:val="single"/>
          </w:rPr>
          <w:t>https://projetco2.fr/</w:t>
        </w:r>
      </w:hyperlink>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sz w:val="24"/>
            <w:szCs w:val="24"/>
            <w:u w:val="single"/>
          </w:rPr>
          <w:t>https://nousaerons.fr/</w:t>
        </w:r>
      </w:hyperlink>
      <w:r>
        <w:rPr>
          <w:rFonts w:ascii="Times New Roman" w:eastAsia="Times New Roman" w:hAnsi="Times New Roman" w:cs="Times New Roman"/>
          <w:sz w:val="24"/>
          <w:szCs w:val="24"/>
        </w:rPr>
        <w:t xml:space="preserve"> ; </w:t>
      </w:r>
      <w:hyperlink r:id="rId12">
        <w:r>
          <w:rPr>
            <w:rFonts w:ascii="Times New Roman" w:eastAsia="Times New Roman" w:hAnsi="Times New Roman" w:cs="Times New Roman"/>
            <w:sz w:val="24"/>
            <w:szCs w:val="24"/>
            <w:u w:val="single"/>
          </w:rPr>
          <w:t>https://ducotedelascience.org</w:t>
        </w:r>
      </w:hyperlink>
      <w:r>
        <w:rPr>
          <w:rFonts w:ascii="Times New Roman" w:eastAsia="Times New Roman" w:hAnsi="Times New Roman" w:cs="Times New Roman"/>
          <w:sz w:val="24"/>
          <w:szCs w:val="24"/>
        </w:rPr>
        <w:t xml:space="preserve">. </w:t>
      </w:r>
    </w:p>
    <w:p w:rsidR="00121163" w:rsidRDefault="00D82F09">
      <w:pPr>
        <w:tabs>
          <w:tab w:val="left" w:pos="1110"/>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Pour appuyer l’urgence de cette démarche, je me permets de rappeler quelques chiffres et faits avérés concernant la crise sanitaire, les enfants et les établissements scolaires :</w:t>
      </w:r>
    </w:p>
    <w:p w:rsidR="00121163" w:rsidRDefault="00D82F0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leçon d’une année de p</w:t>
      </w:r>
      <w:r>
        <w:rPr>
          <w:rFonts w:ascii="Times New Roman" w:eastAsia="Times New Roman" w:hAnsi="Times New Roman" w:cs="Times New Roman"/>
          <w:b/>
          <w:sz w:val="24"/>
          <w:szCs w:val="24"/>
        </w:rPr>
        <w:t>andémie à l’Ecole : les enfants sont concernés et les mesures adoptées pour les protéger sont insuffisantes</w:t>
      </w:r>
    </w:p>
    <w:p w:rsidR="00121163" w:rsidRDefault="00D82F09">
      <w:pPr>
        <w:spacing w:line="360" w:lineRule="auto"/>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4"/>
          <w:szCs w:val="24"/>
        </w:rPr>
        <w:t xml:space="preserve">L’année scolaire qui vient de se terminer à </w:t>
      </w:r>
      <w:proofErr w:type="spellStart"/>
      <w:r>
        <w:rPr>
          <w:rFonts w:ascii="Times New Roman" w:eastAsia="Times New Roman" w:hAnsi="Times New Roman" w:cs="Times New Roman"/>
          <w:sz w:val="24"/>
          <w:szCs w:val="24"/>
        </w:rPr>
        <w:t>montré</w:t>
      </w:r>
      <w:proofErr w:type="spellEnd"/>
      <w:r>
        <w:rPr>
          <w:rFonts w:ascii="Times New Roman" w:eastAsia="Times New Roman" w:hAnsi="Times New Roman" w:cs="Times New Roman"/>
          <w:sz w:val="24"/>
          <w:szCs w:val="24"/>
        </w:rPr>
        <w:t xml:space="preserve"> l’insuffisance des conditions sanitaires d’accueil des élèves dans les établissements scolaires :</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highlight w:val="white"/>
        </w:rPr>
        <w:t xml:space="preserve">depuis le début de la pandémie </w:t>
      </w:r>
      <w:r w:rsidR="00BB71DD" w:rsidRPr="00BB71DD">
        <w:rPr>
          <w:rFonts w:ascii="Times New Roman" w:eastAsia="Times New Roman" w:hAnsi="Times New Roman" w:cs="Times New Roman"/>
          <w:sz w:val="23"/>
          <w:szCs w:val="23"/>
        </w:rPr>
        <w:t>1</w:t>
      </w:r>
      <w:r w:rsidR="00BB71DD">
        <w:rPr>
          <w:rFonts w:ascii="Times New Roman" w:eastAsia="Times New Roman" w:hAnsi="Times New Roman" w:cs="Times New Roman"/>
          <w:sz w:val="23"/>
          <w:szCs w:val="23"/>
        </w:rPr>
        <w:t> </w:t>
      </w:r>
      <w:r w:rsidR="00BB71DD" w:rsidRPr="00BB71DD">
        <w:rPr>
          <w:rFonts w:ascii="Times New Roman" w:eastAsia="Times New Roman" w:hAnsi="Times New Roman" w:cs="Times New Roman"/>
          <w:sz w:val="23"/>
          <w:szCs w:val="23"/>
        </w:rPr>
        <w:t>017</w:t>
      </w:r>
      <w:r w:rsidR="00BB71DD">
        <w:rPr>
          <w:rFonts w:ascii="Times New Roman" w:eastAsia="Times New Roman" w:hAnsi="Times New Roman" w:cs="Times New Roman"/>
          <w:sz w:val="23"/>
          <w:szCs w:val="23"/>
        </w:rPr>
        <w:t xml:space="preserve"> </w:t>
      </w:r>
      <w:r w:rsidR="00BB71DD" w:rsidRPr="00BB71DD">
        <w:rPr>
          <w:rFonts w:ascii="Times New Roman" w:eastAsia="Times New Roman" w:hAnsi="Times New Roman" w:cs="Times New Roman"/>
          <w:sz w:val="23"/>
          <w:szCs w:val="23"/>
        </w:rPr>
        <w:t>116</w:t>
      </w:r>
      <w:r>
        <w:rPr>
          <w:rFonts w:ascii="Times New Roman" w:eastAsia="Times New Roman" w:hAnsi="Times New Roman" w:cs="Times New Roman"/>
          <w:sz w:val="23"/>
          <w:szCs w:val="23"/>
          <w:highlight w:val="white"/>
        </w:rPr>
        <w:t xml:space="preserve"> enfants et adolescents ont été confirmés positifs au Covid19, dont 98% depuis la rentrée scolaire de septembre. </w:t>
      </w:r>
    </w:p>
    <w:p w:rsidR="00121163" w:rsidRDefault="00D82F09">
      <w:pPr>
        <w:spacing w:line="360" w:lineRule="auto"/>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Le Covid19 n’est pas toujours une maladie anodine pour les enfants : si beaucoup ont des symptômes légers ou sont asymptomatiques, plus d’1% des cas identifiés entre 0 et 9 ans ont eu des manifestations néc</w:t>
      </w:r>
      <w:r w:rsidR="00BB71DD">
        <w:rPr>
          <w:rFonts w:ascii="Times New Roman" w:eastAsia="Times New Roman" w:hAnsi="Times New Roman" w:cs="Times New Roman"/>
          <w:sz w:val="23"/>
          <w:szCs w:val="23"/>
          <w:highlight w:val="white"/>
        </w:rPr>
        <w:t>essitant une hospitalisation. 595</w:t>
      </w:r>
      <w:r>
        <w:rPr>
          <w:rFonts w:ascii="Times New Roman" w:eastAsia="Times New Roman" w:hAnsi="Times New Roman" w:cs="Times New Roman"/>
          <w:sz w:val="23"/>
          <w:szCs w:val="23"/>
          <w:highlight w:val="white"/>
        </w:rPr>
        <w:t xml:space="preserve"> ont développé un</w:t>
      </w:r>
      <w:r>
        <w:rPr>
          <w:rFonts w:ascii="Times New Roman" w:eastAsia="Times New Roman" w:hAnsi="Times New Roman" w:cs="Times New Roman"/>
          <w:sz w:val="23"/>
          <w:szCs w:val="23"/>
          <w:highlight w:val="white"/>
        </w:rPr>
        <w:t xml:space="preserve"> syndrome inflammatoire </w:t>
      </w:r>
      <w:proofErr w:type="spellStart"/>
      <w:r>
        <w:rPr>
          <w:rFonts w:ascii="Times New Roman" w:eastAsia="Times New Roman" w:hAnsi="Times New Roman" w:cs="Times New Roman"/>
          <w:sz w:val="23"/>
          <w:szCs w:val="23"/>
          <w:highlight w:val="white"/>
        </w:rPr>
        <w:t>multisystémique</w:t>
      </w:r>
      <w:proofErr w:type="spellEnd"/>
      <w:r>
        <w:rPr>
          <w:rFonts w:ascii="Times New Roman" w:eastAsia="Times New Roman" w:hAnsi="Times New Roman" w:cs="Times New Roman"/>
          <w:sz w:val="23"/>
          <w:szCs w:val="23"/>
          <w:highlight w:val="white"/>
        </w:rPr>
        <w:t xml:space="preserve"> pédiatrique, avec un passage en </w:t>
      </w:r>
      <w:r w:rsidR="00BB71DD">
        <w:rPr>
          <w:rFonts w:ascii="Times New Roman" w:eastAsia="Times New Roman" w:hAnsi="Times New Roman" w:cs="Times New Roman"/>
          <w:sz w:val="23"/>
          <w:szCs w:val="23"/>
          <w:highlight w:val="white"/>
        </w:rPr>
        <w:t>réanimation</w:t>
      </w:r>
      <w:r>
        <w:rPr>
          <w:rFonts w:ascii="Times New Roman" w:eastAsia="Times New Roman" w:hAnsi="Times New Roman" w:cs="Times New Roman"/>
          <w:sz w:val="23"/>
          <w:szCs w:val="23"/>
          <w:highlight w:val="white"/>
        </w:rPr>
        <w:t xml:space="preserve"> pour </w:t>
      </w:r>
      <w:r w:rsidR="00BB71DD">
        <w:rPr>
          <w:rFonts w:ascii="Times New Roman" w:eastAsia="Times New Roman" w:hAnsi="Times New Roman" w:cs="Times New Roman"/>
          <w:sz w:val="23"/>
          <w:szCs w:val="23"/>
          <w:highlight w:val="white"/>
        </w:rPr>
        <w:t>67</w:t>
      </w:r>
      <w:r>
        <w:rPr>
          <w:rFonts w:ascii="Times New Roman" w:eastAsia="Times New Roman" w:hAnsi="Times New Roman" w:cs="Times New Roman"/>
          <w:sz w:val="23"/>
          <w:szCs w:val="23"/>
          <w:highlight w:val="white"/>
        </w:rPr>
        <w:t xml:space="preserve">% d’entre eux (mise à jour </w:t>
      </w:r>
      <w:r w:rsidR="00BB71DD">
        <w:rPr>
          <w:rFonts w:ascii="Times New Roman" w:eastAsia="Times New Roman" w:hAnsi="Times New Roman" w:cs="Times New Roman"/>
          <w:sz w:val="23"/>
          <w:szCs w:val="23"/>
          <w:highlight w:val="white"/>
        </w:rPr>
        <w:t>15</w:t>
      </w:r>
      <w:r>
        <w:rPr>
          <w:rFonts w:ascii="Times New Roman" w:eastAsia="Times New Roman" w:hAnsi="Times New Roman" w:cs="Times New Roman"/>
          <w:sz w:val="23"/>
          <w:szCs w:val="23"/>
          <w:highlight w:val="white"/>
        </w:rPr>
        <w:t xml:space="preserve"> </w:t>
      </w:r>
      <w:r w:rsidR="00BB71DD">
        <w:rPr>
          <w:rFonts w:ascii="Times New Roman" w:eastAsia="Times New Roman" w:hAnsi="Times New Roman" w:cs="Times New Roman"/>
          <w:sz w:val="23"/>
          <w:szCs w:val="23"/>
          <w:highlight w:val="white"/>
        </w:rPr>
        <w:t>Juin</w:t>
      </w:r>
      <w:r>
        <w:rPr>
          <w:rFonts w:ascii="Times New Roman" w:eastAsia="Times New Roman" w:hAnsi="Times New Roman" w:cs="Times New Roman"/>
          <w:sz w:val="23"/>
          <w:szCs w:val="23"/>
          <w:highlight w:val="white"/>
          <w:vertAlign w:val="superscript"/>
        </w:rPr>
        <w:footnoteReference w:id="4"/>
      </w:r>
      <w:r>
        <w:rPr>
          <w:rFonts w:ascii="Times New Roman" w:eastAsia="Times New Roman" w:hAnsi="Times New Roman" w:cs="Times New Roman"/>
          <w:sz w:val="23"/>
          <w:szCs w:val="23"/>
          <w:highlight w:val="white"/>
        </w:rPr>
        <w:t>). On décompte également 6 décès d’enfants dans la tranche d’âge 0-9 ans, dont 2 depuis début Juin, et 9 chez les 10-19 ans, un</w:t>
      </w:r>
      <w:r>
        <w:rPr>
          <w:rFonts w:ascii="Times New Roman" w:eastAsia="Times New Roman" w:hAnsi="Times New Roman" w:cs="Times New Roman"/>
          <w:sz w:val="23"/>
          <w:szCs w:val="23"/>
          <w:highlight w:val="white"/>
        </w:rPr>
        <w:t xml:space="preserve"> chiffre faible mais un véritable drame individuel et collectif. </w:t>
      </w:r>
    </w:p>
    <w:p w:rsidR="00121163" w:rsidRDefault="00D82F09">
      <w:pPr>
        <w:spacing w:line="360" w:lineRule="auto"/>
        <w:jc w:val="both"/>
        <w:rPr>
          <w:rFonts w:ascii="Arial Narrow" w:eastAsia="Arial Narrow" w:hAnsi="Arial Narrow" w:cs="Arial Narrow"/>
          <w:sz w:val="23"/>
          <w:szCs w:val="23"/>
          <w:highlight w:val="white"/>
        </w:rPr>
      </w:pPr>
      <w:r>
        <w:rPr>
          <w:rFonts w:ascii="Times New Roman" w:eastAsia="Times New Roman" w:hAnsi="Times New Roman" w:cs="Times New Roman"/>
          <w:sz w:val="23"/>
          <w:szCs w:val="23"/>
          <w:highlight w:val="white"/>
        </w:rPr>
        <w:t>La partie immergée de l’iceberg ce sont aussi l</w:t>
      </w:r>
      <w:r>
        <w:rPr>
          <w:rFonts w:ascii="Times New Roman" w:eastAsia="Times New Roman" w:hAnsi="Times New Roman" w:cs="Times New Roman"/>
          <w:b/>
          <w:sz w:val="23"/>
          <w:szCs w:val="23"/>
          <w:highlight w:val="white"/>
        </w:rPr>
        <w:t>es enfants et adolescents ayant développé un “</w:t>
      </w:r>
      <w:proofErr w:type="spellStart"/>
      <w:r>
        <w:rPr>
          <w:rFonts w:ascii="Times New Roman" w:eastAsia="Times New Roman" w:hAnsi="Times New Roman" w:cs="Times New Roman"/>
          <w:b/>
          <w:sz w:val="23"/>
          <w:szCs w:val="23"/>
          <w:highlight w:val="white"/>
        </w:rPr>
        <w:t>covid</w:t>
      </w:r>
      <w:proofErr w:type="spellEnd"/>
      <w:r>
        <w:rPr>
          <w:rFonts w:ascii="Times New Roman" w:eastAsia="Times New Roman" w:hAnsi="Times New Roman" w:cs="Times New Roman"/>
          <w:b/>
          <w:sz w:val="23"/>
          <w:szCs w:val="23"/>
          <w:highlight w:val="white"/>
        </w:rPr>
        <w:t xml:space="preserve"> long”</w:t>
      </w:r>
      <w:r>
        <w:rPr>
          <w:rFonts w:ascii="Times New Roman" w:eastAsia="Times New Roman" w:hAnsi="Times New Roman" w:cs="Times New Roman"/>
          <w:sz w:val="23"/>
          <w:szCs w:val="23"/>
          <w:highlight w:val="white"/>
        </w:rPr>
        <w:t>: entre 2% et 8% selon la littérature scientifique</w:t>
      </w:r>
      <w:r>
        <w:rPr>
          <w:rFonts w:ascii="Times New Roman" w:eastAsia="Times New Roman" w:hAnsi="Times New Roman" w:cs="Times New Roman"/>
          <w:sz w:val="14"/>
          <w:szCs w:val="14"/>
          <w:highlight w:val="white"/>
          <w:vertAlign w:val="superscript"/>
        </w:rPr>
        <w:t>,</w:t>
      </w:r>
      <w:r>
        <w:rPr>
          <w:rFonts w:ascii="Times New Roman" w:eastAsia="Times New Roman" w:hAnsi="Times New Roman" w:cs="Times New Roman"/>
          <w:sz w:val="23"/>
          <w:szCs w:val="23"/>
          <w:highlight w:val="white"/>
        </w:rPr>
        <w:t xml:space="preserve"> et les données gouvernementales </w:t>
      </w:r>
      <w:proofErr w:type="gramStart"/>
      <w:r>
        <w:rPr>
          <w:rFonts w:ascii="Times New Roman" w:eastAsia="Times New Roman" w:hAnsi="Times New Roman" w:cs="Times New Roman"/>
          <w:sz w:val="23"/>
          <w:szCs w:val="23"/>
          <w:highlight w:val="white"/>
        </w:rPr>
        <w:t>an</w:t>
      </w:r>
      <w:r>
        <w:rPr>
          <w:rFonts w:ascii="Times New Roman" w:eastAsia="Times New Roman" w:hAnsi="Times New Roman" w:cs="Times New Roman"/>
          <w:sz w:val="23"/>
          <w:szCs w:val="23"/>
          <w:highlight w:val="white"/>
        </w:rPr>
        <w:t>glaises,  soit</w:t>
      </w:r>
      <w:proofErr w:type="gramEnd"/>
      <w:r>
        <w:rPr>
          <w:rFonts w:ascii="Times New Roman" w:eastAsia="Times New Roman" w:hAnsi="Times New Roman" w:cs="Times New Roman"/>
          <w:sz w:val="23"/>
          <w:szCs w:val="23"/>
          <w:highlight w:val="white"/>
        </w:rPr>
        <w:t xml:space="preserve"> en France entre 20 000 et 8</w:t>
      </w:r>
      <w:r w:rsidR="00BB71DD">
        <w:rPr>
          <w:rFonts w:ascii="Times New Roman" w:eastAsia="Times New Roman" w:hAnsi="Times New Roman" w:cs="Times New Roman"/>
          <w:sz w:val="23"/>
          <w:szCs w:val="23"/>
          <w:highlight w:val="white"/>
        </w:rPr>
        <w:t>1</w:t>
      </w:r>
      <w:r>
        <w:rPr>
          <w:rFonts w:ascii="Times New Roman" w:eastAsia="Times New Roman" w:hAnsi="Times New Roman" w:cs="Times New Roman"/>
          <w:sz w:val="23"/>
          <w:szCs w:val="23"/>
          <w:highlight w:val="white"/>
        </w:rPr>
        <w:t xml:space="preserve"> 000 individus, parmi lesquels certains ont des symptômes invalidants durables, et n’ont pas pu reprendre une scolarité et une vie normale</w:t>
      </w:r>
      <w:r>
        <w:rPr>
          <w:rFonts w:ascii="Arial Narrow" w:eastAsia="Arial Narrow" w:hAnsi="Arial Narrow" w:cs="Arial Narrow"/>
          <w:sz w:val="23"/>
          <w:szCs w:val="23"/>
          <w:highlight w:val="white"/>
        </w:rPr>
        <w:t>.</w:t>
      </w:r>
    </w:p>
    <w:p w:rsidR="00121163" w:rsidRDefault="00D82F09">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 rentrée 2021 : sous la menace des variant et avec des mesures toujours</w:t>
      </w:r>
      <w:r>
        <w:rPr>
          <w:rFonts w:ascii="Times New Roman" w:eastAsia="Times New Roman" w:hAnsi="Times New Roman" w:cs="Times New Roman"/>
          <w:b/>
          <w:sz w:val="24"/>
          <w:szCs w:val="24"/>
        </w:rPr>
        <w:t xml:space="preserve"> insuffisantes pour protéger la santé et la scolarité des enfants</w:t>
      </w:r>
    </w:p>
    <w:p w:rsidR="00121163" w:rsidRDefault="00D82F09">
      <w:pPr>
        <w:spacing w:line="360" w:lineRule="auto"/>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Selon les experts, même dans l’hypothèse d’une couverture vaccinale suffisante dans la population adulte, “les établissements scolaires seront un lieu privilégié pour la circulation du virus</w:t>
      </w:r>
      <w:r>
        <w:rPr>
          <w:rFonts w:ascii="Times New Roman" w:eastAsia="Times New Roman" w:hAnsi="Times New Roman" w:cs="Times New Roman"/>
          <w:sz w:val="23"/>
          <w:szCs w:val="23"/>
          <w:highlight w:val="white"/>
        </w:rPr>
        <w:t>”</w:t>
      </w:r>
      <w:r>
        <w:rPr>
          <w:rFonts w:ascii="Times New Roman" w:eastAsia="Times New Roman" w:hAnsi="Times New Roman" w:cs="Times New Roman"/>
          <w:sz w:val="23"/>
          <w:szCs w:val="23"/>
          <w:highlight w:val="white"/>
          <w:vertAlign w:val="superscript"/>
        </w:rPr>
        <w:footnoteReference w:id="5"/>
      </w:r>
      <w:r>
        <w:rPr>
          <w:rFonts w:ascii="Times New Roman" w:eastAsia="Times New Roman" w:hAnsi="Times New Roman" w:cs="Times New Roman"/>
          <w:sz w:val="23"/>
          <w:szCs w:val="23"/>
          <w:highlight w:val="white"/>
        </w:rPr>
        <w:t xml:space="preserve">. Le variant </w:t>
      </w:r>
      <w:proofErr w:type="gramStart"/>
      <w:r>
        <w:rPr>
          <w:rFonts w:ascii="Times New Roman" w:eastAsia="Times New Roman" w:hAnsi="Times New Roman" w:cs="Times New Roman"/>
          <w:sz w:val="23"/>
          <w:szCs w:val="23"/>
          <w:highlight w:val="white"/>
        </w:rPr>
        <w:t>Delta  représente</w:t>
      </w:r>
      <w:proofErr w:type="gramEnd"/>
      <w:r>
        <w:rPr>
          <w:rFonts w:ascii="Times New Roman" w:eastAsia="Times New Roman" w:hAnsi="Times New Roman" w:cs="Times New Roman"/>
          <w:sz w:val="23"/>
          <w:szCs w:val="23"/>
          <w:highlight w:val="white"/>
        </w:rPr>
        <w:t xml:space="preserve"> déjà une menace pour la rentrée 2021. Au Royaume Uni,  avec lequel la France a un décalage de deux mois en terme de situation épidémique, le variant delta s’est diffusé à partir des enfants en âge scolaire, après la levée d</w:t>
      </w:r>
      <w:r>
        <w:rPr>
          <w:rFonts w:ascii="Times New Roman" w:eastAsia="Times New Roman" w:hAnsi="Times New Roman" w:cs="Times New Roman"/>
          <w:sz w:val="23"/>
          <w:szCs w:val="23"/>
          <w:highlight w:val="white"/>
        </w:rPr>
        <w:t xml:space="preserve">e l'obligation du </w:t>
      </w:r>
      <w:r>
        <w:rPr>
          <w:rFonts w:ascii="Times New Roman" w:eastAsia="Times New Roman" w:hAnsi="Times New Roman" w:cs="Times New Roman"/>
          <w:sz w:val="23"/>
          <w:szCs w:val="23"/>
          <w:highlight w:val="white"/>
        </w:rPr>
        <w:lastRenderedPageBreak/>
        <w:t>port du masque à l’école</w:t>
      </w:r>
      <w:r>
        <w:rPr>
          <w:rFonts w:ascii="Times New Roman" w:eastAsia="Times New Roman" w:hAnsi="Times New Roman" w:cs="Times New Roman"/>
          <w:sz w:val="23"/>
          <w:szCs w:val="23"/>
          <w:highlight w:val="white"/>
          <w:vertAlign w:val="superscript"/>
        </w:rPr>
        <w:footnoteReference w:id="6"/>
      </w:r>
      <w:r>
        <w:rPr>
          <w:rFonts w:ascii="Times New Roman" w:eastAsia="Times New Roman" w:hAnsi="Times New Roman" w:cs="Times New Roman"/>
          <w:sz w:val="23"/>
          <w:szCs w:val="23"/>
          <w:highlight w:val="white"/>
        </w:rPr>
        <w:t>. En France, dans les Landes où le delta représente déjà 70% des contaminations, les taux d'incidence en milieu scolaire sont jusqu’à trois fois plus élevés qu’en population générale : au 25 juin, même chez les 3-</w:t>
      </w:r>
      <w:r>
        <w:rPr>
          <w:rFonts w:ascii="Times New Roman" w:eastAsia="Times New Roman" w:hAnsi="Times New Roman" w:cs="Times New Roman"/>
          <w:sz w:val="23"/>
          <w:szCs w:val="23"/>
          <w:highlight w:val="white"/>
        </w:rPr>
        <w:t>5 ans, le taux d’incidence est supérieur à celui des adultes</w:t>
      </w:r>
      <w:r>
        <w:rPr>
          <w:rFonts w:ascii="Times New Roman" w:eastAsia="Times New Roman" w:hAnsi="Times New Roman" w:cs="Times New Roman"/>
          <w:sz w:val="23"/>
          <w:szCs w:val="23"/>
          <w:highlight w:val="white"/>
          <w:vertAlign w:val="superscript"/>
        </w:rPr>
        <w:footnoteReference w:id="7"/>
      </w:r>
      <w:r>
        <w:rPr>
          <w:rFonts w:ascii="Times New Roman" w:eastAsia="Times New Roman" w:hAnsi="Times New Roman" w:cs="Times New Roman"/>
          <w:sz w:val="23"/>
          <w:szCs w:val="23"/>
          <w:highlight w:val="white"/>
        </w:rPr>
        <w:t>.</w:t>
      </w:r>
    </w:p>
    <w:p w:rsidR="00121163" w:rsidRDefault="00D82F09">
      <w:pPr>
        <w:spacing w:line="360" w:lineRule="auto"/>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Si la menace du variant delta, nettement plus contagieux,  pèse sur la santé des élèves, elle met  aussi leur scolarité en péril : dans les écoles anglaises, chaque semaine le nombre d’élèves a</w:t>
      </w:r>
      <w:r>
        <w:rPr>
          <w:rFonts w:ascii="Times New Roman" w:eastAsia="Times New Roman" w:hAnsi="Times New Roman" w:cs="Times New Roman"/>
          <w:sz w:val="23"/>
          <w:szCs w:val="23"/>
          <w:highlight w:val="white"/>
        </w:rPr>
        <w:t>bsents augmente de plus de 50% : 250 000 la semaine du 18 juin, plus de 330 000 la semaine suivante et 640 000 celle d’après</w:t>
      </w:r>
      <w:r>
        <w:rPr>
          <w:rFonts w:ascii="Times New Roman" w:eastAsia="Times New Roman" w:hAnsi="Times New Roman" w:cs="Times New Roman"/>
          <w:sz w:val="23"/>
          <w:szCs w:val="23"/>
          <w:highlight w:val="white"/>
          <w:vertAlign w:val="superscript"/>
        </w:rPr>
        <w:footnoteReference w:id="8"/>
      </w:r>
      <w:r w:rsidR="00BB71DD">
        <w:rPr>
          <w:rFonts w:ascii="Times New Roman" w:eastAsia="Times New Roman" w:hAnsi="Times New Roman" w:cs="Times New Roman"/>
          <w:sz w:val="23"/>
          <w:szCs w:val="23"/>
          <w:highlight w:val="white"/>
        </w:rPr>
        <w:t xml:space="preserve"> , pour arriver au record de 840 000 début juillet</w:t>
      </w:r>
      <w:r w:rsidR="00BB71DD">
        <w:rPr>
          <w:rStyle w:val="Appelnotedebasdep"/>
          <w:rFonts w:ascii="Times New Roman" w:eastAsia="Times New Roman" w:hAnsi="Times New Roman" w:cs="Times New Roman"/>
          <w:sz w:val="23"/>
          <w:szCs w:val="23"/>
          <w:highlight w:val="white"/>
        </w:rPr>
        <w:footnoteReference w:id="9"/>
      </w:r>
      <w:r w:rsidR="00BB71DD">
        <w:rPr>
          <w:rFonts w:ascii="Times New Roman" w:eastAsia="Times New Roman" w:hAnsi="Times New Roman" w:cs="Times New Roman"/>
          <w:sz w:val="23"/>
          <w:szCs w:val="23"/>
          <w:highlight w:val="white"/>
        </w:rPr>
        <w:t>.</w:t>
      </w:r>
      <w:bookmarkStart w:id="0" w:name="_GoBack"/>
      <w:bookmarkEnd w:id="0"/>
    </w:p>
    <w:p w:rsidR="00121163" w:rsidRDefault="00D82F09">
      <w:pPr>
        <w:spacing w:line="360" w:lineRule="auto"/>
        <w:jc w:val="center"/>
        <w:rPr>
          <w:rFonts w:ascii="Times New Roman" w:eastAsia="Times New Roman" w:hAnsi="Times New Roman" w:cs="Times New Roman"/>
          <w:sz w:val="23"/>
          <w:szCs w:val="23"/>
          <w:highlight w:val="white"/>
        </w:rPr>
      </w:pPr>
      <w:r>
        <w:rPr>
          <w:rFonts w:ascii="Times New Roman" w:eastAsia="Times New Roman" w:hAnsi="Times New Roman" w:cs="Times New Roman"/>
          <w:b/>
          <w:sz w:val="24"/>
          <w:szCs w:val="24"/>
        </w:rPr>
        <w:t>La qualité de l’air : la solution pour garantir l’enseignement en présentiel pour l’année 2021-2022 et un investissement d’aven</w:t>
      </w:r>
      <w:r>
        <w:rPr>
          <w:rFonts w:ascii="Times New Roman" w:eastAsia="Times New Roman" w:hAnsi="Times New Roman" w:cs="Times New Roman"/>
          <w:b/>
          <w:sz w:val="24"/>
          <w:szCs w:val="24"/>
        </w:rPr>
        <w:t>ir</w:t>
      </w:r>
    </w:p>
    <w:p w:rsidR="00121163" w:rsidRDefault="00D82F09">
      <w:pPr>
        <w:spacing w:line="360" w:lineRule="auto"/>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L’efficacité des détecteurs de CO</w:t>
      </w:r>
      <w:r>
        <w:rPr>
          <w:rFonts w:ascii="Times New Roman" w:eastAsia="Times New Roman" w:hAnsi="Times New Roman" w:cs="Times New Roman"/>
          <w:sz w:val="23"/>
          <w:szCs w:val="23"/>
          <w:highlight w:val="white"/>
          <w:vertAlign w:val="subscript"/>
        </w:rPr>
        <w:t>2</w:t>
      </w:r>
      <w:r>
        <w:rPr>
          <w:rFonts w:ascii="Times New Roman" w:eastAsia="Times New Roman" w:hAnsi="Times New Roman" w:cs="Times New Roman"/>
          <w:sz w:val="23"/>
          <w:szCs w:val="23"/>
          <w:highlight w:val="white"/>
        </w:rPr>
        <w:t xml:space="preserve"> pour optimiser la ventilation a été prouvée par le terrain et ils sont recommandés par le Ministre de l’Education Nationale, Jean-Michel </w:t>
      </w:r>
      <w:proofErr w:type="spellStart"/>
      <w:r>
        <w:rPr>
          <w:rFonts w:ascii="Times New Roman" w:eastAsia="Times New Roman" w:hAnsi="Times New Roman" w:cs="Times New Roman"/>
          <w:sz w:val="23"/>
          <w:szCs w:val="23"/>
          <w:highlight w:val="white"/>
        </w:rPr>
        <w:t>Blanquer</w:t>
      </w:r>
      <w:proofErr w:type="spellEnd"/>
      <w:r>
        <w:rPr>
          <w:rFonts w:ascii="Times New Roman" w:eastAsia="Times New Roman" w:hAnsi="Times New Roman" w:cs="Times New Roman"/>
          <w:sz w:val="23"/>
          <w:szCs w:val="23"/>
          <w:highlight w:val="white"/>
        </w:rPr>
        <w:t>. Leur coût est minime, inférieur à celui de quelques chaises par classe.</w:t>
      </w:r>
      <w:r>
        <w:rPr>
          <w:rFonts w:ascii="Times New Roman" w:eastAsia="Times New Roman" w:hAnsi="Times New Roman" w:cs="Times New Roman"/>
          <w:sz w:val="23"/>
          <w:szCs w:val="23"/>
          <w:highlight w:val="white"/>
        </w:rPr>
        <w:t xml:space="preserve"> Les purificateurs d'air ambiant HEPA ont fait l’objet de déclarations contradictoires, mais désormais leur utilité est  unanimement reconnue</w:t>
      </w:r>
      <w:r>
        <w:rPr>
          <w:rFonts w:ascii="Times New Roman" w:eastAsia="Times New Roman" w:hAnsi="Times New Roman" w:cs="Times New Roman"/>
          <w:sz w:val="24"/>
          <w:szCs w:val="24"/>
          <w:highlight w:val="white"/>
          <w:vertAlign w:val="superscript"/>
        </w:rPr>
        <w:footnoteReference w:id="10"/>
      </w:r>
      <w:r>
        <w:rPr>
          <w:rFonts w:ascii="Times New Roman" w:eastAsia="Times New Roman" w:hAnsi="Times New Roman" w:cs="Times New Roman"/>
          <w:sz w:val="23"/>
          <w:szCs w:val="23"/>
          <w:highlight w:val="white"/>
        </w:rPr>
        <w:t>, y compris en situation réelle</w:t>
      </w:r>
      <w:r>
        <w:rPr>
          <w:rFonts w:ascii="Times New Roman" w:eastAsia="Times New Roman" w:hAnsi="Times New Roman" w:cs="Times New Roman"/>
          <w:sz w:val="23"/>
          <w:szCs w:val="23"/>
          <w:highlight w:val="white"/>
          <w:vertAlign w:val="superscript"/>
        </w:rPr>
        <w:footnoteReference w:id="11"/>
      </w:r>
      <w:r>
        <w:rPr>
          <w:rFonts w:ascii="Times New Roman" w:eastAsia="Times New Roman" w:hAnsi="Times New Roman" w:cs="Times New Roman"/>
          <w:sz w:val="23"/>
          <w:szCs w:val="23"/>
          <w:highlight w:val="white"/>
        </w:rPr>
        <w:t>. La Région Auvergne-Rhône Alpes, après une étude menée sous la responsabilité d’un membre du Conseil scientifique, les a d’ailleurs installés dans les cantines des lycées</w:t>
      </w:r>
      <w:r>
        <w:rPr>
          <w:rFonts w:ascii="Times New Roman" w:eastAsia="Times New Roman" w:hAnsi="Times New Roman" w:cs="Times New Roman"/>
          <w:sz w:val="23"/>
          <w:szCs w:val="23"/>
          <w:highlight w:val="white"/>
          <w:vertAlign w:val="superscript"/>
        </w:rPr>
        <w:footnoteReference w:id="12"/>
      </w:r>
      <w:r>
        <w:rPr>
          <w:rFonts w:ascii="Times New Roman" w:eastAsia="Times New Roman" w:hAnsi="Times New Roman" w:cs="Times New Roman"/>
          <w:sz w:val="23"/>
          <w:szCs w:val="23"/>
          <w:highlight w:val="white"/>
        </w:rPr>
        <w:t xml:space="preserve"> .</w:t>
      </w:r>
    </w:p>
    <w:p w:rsidR="00121163" w:rsidRDefault="00D82F09">
      <w:pPr>
        <w:spacing w:line="360" w:lineRule="auto"/>
        <w:jc w:val="both"/>
        <w:rPr>
          <w:rFonts w:ascii="Times New Roman" w:eastAsia="Times New Roman" w:hAnsi="Times New Roman" w:cs="Times New Roman"/>
          <w:sz w:val="23"/>
          <w:szCs w:val="23"/>
          <w:highlight w:val="white"/>
        </w:rPr>
      </w:pPr>
      <w:r>
        <w:rPr>
          <w:rFonts w:ascii="Times New Roman" w:eastAsia="Times New Roman" w:hAnsi="Times New Roman" w:cs="Times New Roman"/>
          <w:sz w:val="23"/>
          <w:szCs w:val="23"/>
          <w:highlight w:val="white"/>
        </w:rPr>
        <w:t>Il est important de noter que les coûts d'acquisition, d'électricité et d'entreti</w:t>
      </w:r>
      <w:r>
        <w:rPr>
          <w:rFonts w:ascii="Times New Roman" w:eastAsia="Times New Roman" w:hAnsi="Times New Roman" w:cs="Times New Roman"/>
          <w:sz w:val="23"/>
          <w:szCs w:val="23"/>
          <w:highlight w:val="white"/>
        </w:rPr>
        <w:t>en des purificateurs d'air ambiant HEPA ne doivent pas être mis en balance avec la protection de la santé des enfants et des adolescents. Des spécialistes ont estimé</w:t>
      </w:r>
      <w:r>
        <w:rPr>
          <w:rFonts w:ascii="Times New Roman" w:eastAsia="Times New Roman" w:hAnsi="Times New Roman" w:cs="Times New Roman"/>
          <w:sz w:val="23"/>
          <w:szCs w:val="23"/>
          <w:highlight w:val="white"/>
          <w:vertAlign w:val="superscript"/>
        </w:rPr>
        <w:footnoteReference w:id="13"/>
      </w:r>
      <w:r>
        <w:rPr>
          <w:rFonts w:ascii="Times New Roman" w:eastAsia="Times New Roman" w:hAnsi="Times New Roman" w:cs="Times New Roman"/>
          <w:sz w:val="23"/>
          <w:szCs w:val="23"/>
          <w:highlight w:val="white"/>
        </w:rPr>
        <w:t xml:space="preserve"> un coût de 10 euros par an et par étudiant, pour une bonne unité de filtration HEPA et le</w:t>
      </w:r>
      <w:r>
        <w:rPr>
          <w:rFonts w:ascii="Times New Roman" w:eastAsia="Times New Roman" w:hAnsi="Times New Roman" w:cs="Times New Roman"/>
          <w:sz w:val="23"/>
          <w:szCs w:val="23"/>
          <w:highlight w:val="white"/>
        </w:rPr>
        <w:t xml:space="preserve"> remplacement du filtre. Les </w:t>
      </w:r>
      <w:r>
        <w:rPr>
          <w:rFonts w:ascii="Times New Roman" w:eastAsia="Times New Roman" w:hAnsi="Times New Roman" w:cs="Times New Roman"/>
          <w:sz w:val="23"/>
          <w:szCs w:val="23"/>
          <w:highlight w:val="white"/>
        </w:rPr>
        <w:lastRenderedPageBreak/>
        <w:t xml:space="preserve">purificateurs d'air ambiant HEPA sont aussi silencieux qu'un ventilateur de table et sont simples et faciles à utiliser et à entretenir, il est facile </w:t>
      </w:r>
      <w:proofErr w:type="gramStart"/>
      <w:r>
        <w:rPr>
          <w:rFonts w:ascii="Times New Roman" w:eastAsia="Times New Roman" w:hAnsi="Times New Roman" w:cs="Times New Roman"/>
          <w:sz w:val="23"/>
          <w:szCs w:val="23"/>
          <w:highlight w:val="white"/>
        </w:rPr>
        <w:t>d’ en</w:t>
      </w:r>
      <w:proofErr w:type="gramEnd"/>
      <w:r>
        <w:rPr>
          <w:rFonts w:ascii="Times New Roman" w:eastAsia="Times New Roman" w:hAnsi="Times New Roman" w:cs="Times New Roman"/>
          <w:sz w:val="23"/>
          <w:szCs w:val="23"/>
          <w:highlight w:val="white"/>
        </w:rPr>
        <w:t xml:space="preserve"> changer les filtres. C'est pourquoi ils sont utilisés depuis des année</w:t>
      </w:r>
      <w:r>
        <w:rPr>
          <w:rFonts w:ascii="Times New Roman" w:eastAsia="Times New Roman" w:hAnsi="Times New Roman" w:cs="Times New Roman"/>
          <w:sz w:val="23"/>
          <w:szCs w:val="23"/>
          <w:highlight w:val="white"/>
        </w:rPr>
        <w:t>s dans de nombreux espaces, tels que les hôpitaux et les entreprises, sans aucun problème. Comparé aux coûts économiques de la perte d'enseignement et de soins, il s'agit d'un investissement plus que rentable - sans parler des coûts engendrés par les vague</w:t>
      </w:r>
      <w:r>
        <w:rPr>
          <w:rFonts w:ascii="Times New Roman" w:eastAsia="Times New Roman" w:hAnsi="Times New Roman" w:cs="Times New Roman"/>
          <w:sz w:val="23"/>
          <w:szCs w:val="23"/>
          <w:highlight w:val="white"/>
        </w:rPr>
        <w:t xml:space="preserve">s d'infections et les conséquences à long terme qui en découlent (Long Covid, PIMS). </w:t>
      </w:r>
    </w:p>
    <w:p w:rsidR="00121163" w:rsidRDefault="00D82F09">
      <w:pPr>
        <w:spacing w:line="360" w:lineRule="auto"/>
        <w:jc w:val="both"/>
        <w:rPr>
          <w:rFonts w:ascii="Times New Roman" w:eastAsia="Times New Roman" w:hAnsi="Times New Roman" w:cs="Times New Roman"/>
          <w:sz w:val="23"/>
          <w:szCs w:val="23"/>
          <w:highlight w:val="white"/>
        </w:rPr>
      </w:pPr>
      <w:bookmarkStart w:id="1" w:name="_heading=h.gjdgxs" w:colFirst="0" w:colLast="0"/>
      <w:bookmarkEnd w:id="1"/>
      <w:r>
        <w:rPr>
          <w:rFonts w:ascii="Times New Roman" w:eastAsia="Times New Roman" w:hAnsi="Times New Roman" w:cs="Times New Roman"/>
          <w:sz w:val="23"/>
          <w:szCs w:val="23"/>
          <w:highlight w:val="white"/>
        </w:rPr>
        <w:t xml:space="preserve">Ainsi, les bénéfices de détecteurs de CO2 et des purificateurs à filtre HEPA, et la totale absence de contre-indications, justifient pleinement leur installation dans </w:t>
      </w:r>
      <w:proofErr w:type="gramStart"/>
      <w:r>
        <w:rPr>
          <w:rFonts w:ascii="Times New Roman" w:eastAsia="Times New Roman" w:hAnsi="Times New Roman" w:cs="Times New Roman"/>
          <w:sz w:val="23"/>
          <w:szCs w:val="23"/>
          <w:highlight w:val="white"/>
        </w:rPr>
        <w:t xml:space="preserve">l’ </w:t>
      </w:r>
      <w:r>
        <w:rPr>
          <w:rFonts w:ascii="Times New Roman" w:eastAsia="Times New Roman" w:hAnsi="Times New Roman" w:cs="Times New Roman"/>
          <w:sz w:val="23"/>
          <w:szCs w:val="23"/>
          <w:highlight w:val="white"/>
        </w:rPr>
        <w:t>école</w:t>
      </w:r>
      <w:proofErr w:type="gramEnd"/>
      <w:r>
        <w:rPr>
          <w:rFonts w:ascii="Times New Roman" w:eastAsia="Times New Roman" w:hAnsi="Times New Roman" w:cs="Times New Roman"/>
          <w:sz w:val="23"/>
          <w:szCs w:val="23"/>
          <w:highlight w:val="white"/>
        </w:rPr>
        <w:t>/collège/lycée…………… .</w:t>
      </w:r>
    </w:p>
    <w:p w:rsidR="00121163" w:rsidRDefault="00D82F09">
      <w:pPr>
        <w:spacing w:line="360" w:lineRule="auto"/>
        <w:jc w:val="both"/>
        <w:rPr>
          <w:sz w:val="24"/>
          <w:szCs w:val="24"/>
        </w:rPr>
      </w:pPr>
      <w:r>
        <w:rPr>
          <w:rFonts w:ascii="Times New Roman" w:eastAsia="Times New Roman" w:hAnsi="Times New Roman" w:cs="Times New Roman"/>
          <w:sz w:val="24"/>
          <w:szCs w:val="24"/>
        </w:rPr>
        <w:t>Je vous prie d’agréer l’expression de mes plus respectueuses salutations</w:t>
      </w:r>
      <w:r>
        <w:rPr>
          <w:sz w:val="24"/>
          <w:szCs w:val="24"/>
        </w:rPr>
        <w:t>.</w:t>
      </w:r>
    </w:p>
    <w:p w:rsidR="00121163" w:rsidRDefault="00D82F09">
      <w:pPr>
        <w:rPr>
          <w:b/>
          <w:sz w:val="24"/>
          <w:szCs w:val="24"/>
          <w:u w:val="single"/>
        </w:rPr>
      </w:pPr>
      <w:r>
        <w:br w:type="page"/>
      </w:r>
    </w:p>
    <w:p w:rsidR="00121163" w:rsidRDefault="00D82F09">
      <w:pPr>
        <w:spacing w:line="360" w:lineRule="auto"/>
        <w:rPr>
          <w:sz w:val="24"/>
          <w:szCs w:val="24"/>
        </w:rPr>
      </w:pPr>
      <w:r>
        <w:rPr>
          <w:b/>
          <w:sz w:val="24"/>
          <w:szCs w:val="24"/>
          <w:u w:val="single"/>
        </w:rPr>
        <w:lastRenderedPageBreak/>
        <w:t xml:space="preserve">Annexe 1 : Des relevés de CO2 en situation réelle, par Alexandre </w:t>
      </w:r>
      <w:proofErr w:type="spellStart"/>
      <w:r>
        <w:rPr>
          <w:b/>
          <w:sz w:val="24"/>
          <w:szCs w:val="24"/>
          <w:u w:val="single"/>
        </w:rPr>
        <w:t>Gensollen</w:t>
      </w:r>
      <w:proofErr w:type="spellEnd"/>
      <w:r>
        <w:rPr>
          <w:b/>
          <w:sz w:val="24"/>
          <w:szCs w:val="24"/>
          <w:u w:val="single"/>
        </w:rPr>
        <w:t> :</w:t>
      </w:r>
      <w:r>
        <w:rPr>
          <w:sz w:val="24"/>
          <w:szCs w:val="24"/>
        </w:rPr>
        <w:t xml:space="preserve"> @</w:t>
      </w:r>
      <w:proofErr w:type="spellStart"/>
      <w:r>
        <w:rPr>
          <w:sz w:val="24"/>
          <w:szCs w:val="24"/>
        </w:rPr>
        <w:t>AlGensollen</w:t>
      </w:r>
      <w:proofErr w:type="spellEnd"/>
    </w:p>
    <w:p w:rsidR="00121163" w:rsidRDefault="00D82F09">
      <w:pPr>
        <w:spacing w:line="360" w:lineRule="auto"/>
        <w:rPr>
          <w:sz w:val="24"/>
          <w:szCs w:val="24"/>
        </w:rPr>
      </w:pPr>
      <w:r>
        <w:rPr>
          <w:noProof/>
        </w:rPr>
        <w:drawing>
          <wp:inline distT="0" distB="0" distL="0" distR="0">
            <wp:extent cx="5399730" cy="36195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5399730" cy="3619500"/>
                    </a:xfrm>
                    <a:prstGeom prst="rect">
                      <a:avLst/>
                    </a:prstGeom>
                    <a:ln/>
                  </pic:spPr>
                </pic:pic>
              </a:graphicData>
            </a:graphic>
          </wp:inline>
        </w:drawing>
      </w:r>
    </w:p>
    <w:p w:rsidR="00121163" w:rsidRDefault="00D82F09">
      <w:pPr>
        <w:spacing w:line="360" w:lineRule="auto"/>
      </w:pPr>
      <w:r>
        <w:rPr>
          <w:noProof/>
        </w:rPr>
        <w:drawing>
          <wp:inline distT="0" distB="0" distL="0" distR="0">
            <wp:extent cx="5399730" cy="3340100"/>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399730" cy="3340100"/>
                    </a:xfrm>
                    <a:prstGeom prst="rect">
                      <a:avLst/>
                    </a:prstGeom>
                    <a:ln/>
                  </pic:spPr>
                </pic:pic>
              </a:graphicData>
            </a:graphic>
          </wp:inline>
        </w:drawing>
      </w:r>
      <w:r>
        <w:br w:type="page"/>
      </w:r>
    </w:p>
    <w:p w:rsidR="00121163" w:rsidRDefault="00D82F09">
      <w:pPr>
        <w:spacing w:line="360" w:lineRule="auto"/>
        <w:rPr>
          <w:b/>
          <w:sz w:val="24"/>
          <w:szCs w:val="24"/>
          <w:u w:val="single"/>
        </w:rPr>
      </w:pPr>
      <w:r>
        <w:rPr>
          <w:b/>
          <w:sz w:val="24"/>
          <w:szCs w:val="24"/>
          <w:u w:val="single"/>
        </w:rPr>
        <w:lastRenderedPageBreak/>
        <w:t>Annexe 2 : La qualité de l’air au regard de la concentration en CO2</w:t>
      </w:r>
    </w:p>
    <w:p w:rsidR="00121163" w:rsidRDefault="00D82F09">
      <w:pPr>
        <w:spacing w:line="360" w:lineRule="auto"/>
        <w:rPr>
          <w:b/>
          <w:sz w:val="24"/>
          <w:szCs w:val="24"/>
          <w:u w:val="single"/>
        </w:rPr>
      </w:pPr>
      <w:r>
        <w:rPr>
          <w:b/>
          <w:noProof/>
          <w:sz w:val="24"/>
          <w:szCs w:val="24"/>
          <w:u w:val="single"/>
        </w:rPr>
        <w:drawing>
          <wp:inline distT="114300" distB="114300" distL="114300" distR="114300">
            <wp:extent cx="5400675" cy="2153950"/>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400675" cy="2153950"/>
                    </a:xfrm>
                    <a:prstGeom prst="rect">
                      <a:avLst/>
                    </a:prstGeom>
                    <a:ln/>
                  </pic:spPr>
                </pic:pic>
              </a:graphicData>
            </a:graphic>
          </wp:inline>
        </w:drawing>
      </w:r>
    </w:p>
    <w:p w:rsidR="00121163" w:rsidRDefault="00D82F09">
      <w:pPr>
        <w:spacing w:line="360" w:lineRule="auto"/>
        <w:rPr>
          <w:sz w:val="24"/>
          <w:szCs w:val="24"/>
        </w:rPr>
      </w:pPr>
      <w:r>
        <w:rPr>
          <w:sz w:val="24"/>
          <w:szCs w:val="24"/>
        </w:rPr>
        <w:t>http://group.chcsys.net/en/lets-fight-off-infection-sufficient-indoor-ventilation-by-visualizing-co2-concentration/</w:t>
      </w:r>
    </w:p>
    <w:sectPr w:rsidR="00121163">
      <w:pgSz w:w="11906" w:h="16838"/>
      <w:pgMar w:top="1701"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F09" w:rsidRDefault="00D82F09">
      <w:pPr>
        <w:spacing w:after="0" w:line="240" w:lineRule="auto"/>
      </w:pPr>
      <w:r>
        <w:separator/>
      </w:r>
    </w:p>
  </w:endnote>
  <w:endnote w:type="continuationSeparator" w:id="0">
    <w:p w:rsidR="00D82F09" w:rsidRDefault="00D82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F09" w:rsidRDefault="00D82F09">
      <w:pPr>
        <w:spacing w:after="0" w:line="240" w:lineRule="auto"/>
      </w:pPr>
      <w:r>
        <w:separator/>
      </w:r>
    </w:p>
  </w:footnote>
  <w:footnote w:type="continuationSeparator" w:id="0">
    <w:p w:rsidR="00D82F09" w:rsidRDefault="00D82F09">
      <w:pPr>
        <w:spacing w:after="0" w:line="240" w:lineRule="auto"/>
      </w:pPr>
      <w:r>
        <w:continuationSeparator/>
      </w:r>
    </w:p>
  </w:footnote>
  <w:footnote w:id="1">
    <w:p w:rsidR="00121163" w:rsidRDefault="00D82F09">
      <w:pPr>
        <w:pBdr>
          <w:top w:val="nil"/>
          <w:left w:val="nil"/>
          <w:bottom w:val="nil"/>
          <w:right w:val="nil"/>
          <w:between w:val="nil"/>
        </w:pBdr>
        <w:spacing w:after="0" w:line="240" w:lineRule="auto"/>
        <w:rPr>
          <w:color w:val="222222"/>
          <w:sz w:val="20"/>
          <w:szCs w:val="20"/>
        </w:rPr>
      </w:pPr>
      <w:r>
        <w:rPr>
          <w:vertAlign w:val="superscript"/>
        </w:rPr>
        <w:footnoteRef/>
      </w:r>
      <w:r>
        <w:rPr>
          <w:color w:val="222222"/>
          <w:sz w:val="20"/>
          <w:szCs w:val="20"/>
        </w:rPr>
        <w:t xml:space="preserve"> https://ehp.niehs.nih.gov/doi/10.1289/ehp.1510037</w:t>
      </w:r>
    </w:p>
  </w:footnote>
  <w:footnote w:id="2">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https://www.education.gouv.fr/protocole-sanitaire-des-ecoles-et-etablissements-scolaires-annee-scolaire-2020-2021-305630</w:t>
      </w:r>
    </w:p>
  </w:footnote>
  <w:footnote w:id="3">
    <w:p w:rsidR="00121163" w:rsidRDefault="00D82F09">
      <w:pPr>
        <w:spacing w:after="0" w:line="240" w:lineRule="auto"/>
        <w:rPr>
          <w:sz w:val="20"/>
          <w:szCs w:val="20"/>
        </w:rPr>
      </w:pPr>
      <w:r>
        <w:rPr>
          <w:vertAlign w:val="superscript"/>
        </w:rPr>
        <w:footnoteRef/>
      </w:r>
      <w:r>
        <w:rPr>
          <w:sz w:val="20"/>
          <w:szCs w:val="20"/>
        </w:rPr>
        <w:t xml:space="preserve"> “Pour une meilleure qualité de l’air dans les lieux accueillant des enfants et adolescents, guide pratique 2019” https://www.ecologi</w:t>
      </w:r>
      <w:r>
        <w:rPr>
          <w:sz w:val="20"/>
          <w:szCs w:val="20"/>
        </w:rPr>
        <w:t>e.gouv.fr/sites/default/files/Guide-complet-QAI-web.pdf</w:t>
      </w:r>
    </w:p>
  </w:footnote>
  <w:footnote w:id="4">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sidR="00BB71DD" w:rsidRPr="00BB71DD">
        <w:rPr>
          <w:rFonts w:ascii="Arial" w:eastAsia="Arial" w:hAnsi="Arial" w:cs="Arial"/>
          <w:color w:val="000000"/>
          <w:sz w:val="16"/>
          <w:szCs w:val="16"/>
        </w:rPr>
        <w:t>https://www.santepubliquefrance.fr/etudes-et-enquetes/surveillance-nationale-des-cas-de-syndrome-inflammatoire-multi-systemique-pediatrique-pims/documents/bulletin-national/surveillance-des-cas-de-syndrome-inflammatoire-multi-systemique-pediatrique-pims-ou-mis-c-.-bilan-au-15-juin-2021</w:t>
      </w:r>
    </w:p>
  </w:footnote>
  <w:footnote w:id="5">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https://t.co/OA56wlpSe1?amp=1</w:t>
      </w:r>
    </w:p>
  </w:footnote>
  <w:footnote w:id="6">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https://blogs.bmj.com/bmj/2021/06/11/covid-19-and-the-delta-variant-we-need-an-urgent-focus-on-mi</w:t>
      </w:r>
      <w:r>
        <w:rPr>
          <w:color w:val="000000"/>
          <w:sz w:val="20"/>
          <w:szCs w:val="20"/>
        </w:rPr>
        <w:t>tigations-in-schools/?utm_campaign=shareaholic&amp;utm_medium=twitter&amp;utm_source=socialnetwork</w:t>
      </w:r>
    </w:p>
  </w:footnote>
  <w:footnote w:id="7">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https://geodes.santepubliquefrance.fr/</w:t>
      </w:r>
    </w:p>
  </w:footnote>
  <w:footnote w:id="8">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1" w:anchor="block-60db02dd8f08a0630603d7ca">
        <w:r>
          <w:rPr>
            <w:color w:val="0000FF"/>
            <w:sz w:val="20"/>
            <w:szCs w:val="20"/>
            <w:u w:val="single"/>
          </w:rPr>
          <w:t>https://www.theguardian.com/politics/live/2021/jun/29/uk-covid-live-news-latest-updates-schools?CMP=share_btn_tw&amp;page=with:block-60db02dd8f08a0630603d7ca#block-60db02dd8</w:t>
        </w:r>
        <w:r>
          <w:rPr>
            <w:color w:val="0000FF"/>
            <w:sz w:val="20"/>
            <w:szCs w:val="20"/>
            <w:u w:val="single"/>
          </w:rPr>
          <w:t>f08a0630603d7ca</w:t>
        </w:r>
      </w:hyperlink>
      <w:r>
        <w:rPr>
          <w:color w:val="000000"/>
          <w:sz w:val="20"/>
          <w:szCs w:val="20"/>
        </w:rPr>
        <w:t xml:space="preserve"> ; </w:t>
      </w:r>
      <w:hyperlink r:id="rId2">
        <w:r>
          <w:rPr>
            <w:color w:val="0000FF"/>
            <w:sz w:val="20"/>
            <w:szCs w:val="20"/>
            <w:u w:val="single"/>
          </w:rPr>
          <w:t>https://twitter.com/Ecole_Oubliee/status/1409940590138101770?s=20</w:t>
        </w:r>
      </w:hyperlink>
      <w:r>
        <w:rPr>
          <w:color w:val="000000"/>
          <w:sz w:val="20"/>
          <w:szCs w:val="20"/>
        </w:rPr>
        <w:t xml:space="preserve">; </w:t>
      </w:r>
      <w:hyperlink r:id="rId3">
        <w:r>
          <w:rPr>
            <w:color w:val="0000FF"/>
            <w:sz w:val="20"/>
            <w:szCs w:val="20"/>
            <w:u w:val="single"/>
          </w:rPr>
          <w:t>https://www.theguardian.com/education/2021/jul/06/gavin-williamson-announces-end-to-covid-bubbles-in-schools-in-england</w:t>
        </w:r>
      </w:hyperlink>
      <w:r>
        <w:rPr>
          <w:color w:val="000000"/>
          <w:sz w:val="20"/>
          <w:szCs w:val="20"/>
        </w:rPr>
        <w:t xml:space="preserve"> </w:t>
      </w:r>
    </w:p>
  </w:footnote>
  <w:footnote w:id="9">
    <w:p w:rsidR="00BB71DD" w:rsidRDefault="00BB71DD">
      <w:pPr>
        <w:pStyle w:val="Notedebasdepage"/>
      </w:pPr>
      <w:r>
        <w:rPr>
          <w:rStyle w:val="Appelnotedebasdep"/>
        </w:rPr>
        <w:footnoteRef/>
      </w:r>
      <w:r>
        <w:t xml:space="preserve"> </w:t>
      </w:r>
      <w:r w:rsidRPr="00BB71DD">
        <w:t>https://www.theguardian.com/education/2021/jul/13/covid-related-pupil-absences-in-england-jump-to-840000</w:t>
      </w:r>
    </w:p>
  </w:footnote>
  <w:footnote w:id="10">
    <w:p w:rsidR="00121163" w:rsidRDefault="00D82F09">
      <w:pPr>
        <w:spacing w:after="0" w:line="240" w:lineRule="auto"/>
        <w:rPr>
          <w:sz w:val="20"/>
          <w:szCs w:val="20"/>
        </w:rPr>
      </w:pPr>
      <w:r>
        <w:rPr>
          <w:vertAlign w:val="superscript"/>
        </w:rPr>
        <w:footnoteRef/>
      </w:r>
      <w:r>
        <w:rPr>
          <w:sz w:val="20"/>
          <w:szCs w:val="20"/>
        </w:rPr>
        <w:t xml:space="preserve"> https://www.ncbi.nlm.nih.gov/pmc/articles/PMC7424318/</w:t>
      </w:r>
    </w:p>
  </w:footnote>
  <w:footnote w:id="11">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hyperlink r:id="rId4">
        <w:r>
          <w:rPr>
            <w:color w:val="0000FF"/>
            <w:sz w:val="20"/>
            <w:szCs w:val="20"/>
            <w:u w:val="single"/>
          </w:rPr>
          <w:t>https://www.tandfonline.com/doi/full/10.1080/02786826.2021.1877257</w:t>
        </w:r>
      </w:hyperlink>
    </w:p>
    <w:p w:rsidR="00121163" w:rsidRDefault="00121163">
      <w:pPr>
        <w:pBdr>
          <w:top w:val="nil"/>
          <w:left w:val="nil"/>
          <w:bottom w:val="nil"/>
          <w:right w:val="nil"/>
          <w:between w:val="nil"/>
        </w:pBdr>
        <w:spacing w:after="0" w:line="240" w:lineRule="auto"/>
        <w:rPr>
          <w:color w:val="000000"/>
          <w:sz w:val="20"/>
          <w:szCs w:val="20"/>
        </w:rPr>
      </w:pPr>
    </w:p>
  </w:footnote>
  <w:footnote w:id="12">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https://www.auvergnerhonealpes.fr/uploads/Presse/d1/1068_463_CP-04-30-Rentree-des-lycees-2.pdf</w:t>
      </w:r>
    </w:p>
  </w:footnote>
  <w:footnote w:id="13">
    <w:p w:rsidR="00121163" w:rsidRDefault="00D82F09">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https</w:t>
      </w:r>
      <w:r>
        <w:rPr>
          <w:color w:val="000000"/>
          <w:sz w:val="20"/>
          <w:szCs w:val="20"/>
        </w:rPr>
        <w:t>://twitter.com/CorsIAQ/status/1362618407066030083?s=20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37D03"/>
    <w:multiLevelType w:val="multilevel"/>
    <w:tmpl w:val="69A8B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63"/>
    <w:rsid w:val="00121163"/>
    <w:rsid w:val="00320CF2"/>
    <w:rsid w:val="00BB71DD"/>
    <w:rsid w:val="00D82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B829"/>
  <w15:docId w15:val="{BC833742-DF5A-4595-9861-606629E6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tedebasdepage">
    <w:name w:val="footnote text"/>
    <w:basedOn w:val="Normal"/>
    <w:link w:val="NotedebasdepageCar"/>
    <w:uiPriority w:val="99"/>
    <w:semiHidden/>
    <w:unhideWhenUsed/>
    <w:rsid w:val="00307F1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07F1D"/>
    <w:rPr>
      <w:sz w:val="20"/>
      <w:szCs w:val="20"/>
    </w:rPr>
  </w:style>
  <w:style w:type="character" w:styleId="Appelnotedebasdep">
    <w:name w:val="footnote reference"/>
    <w:basedOn w:val="Policepardfaut"/>
    <w:uiPriority w:val="99"/>
    <w:semiHidden/>
    <w:unhideWhenUsed/>
    <w:rsid w:val="00307F1D"/>
    <w:rPr>
      <w:vertAlign w:val="superscript"/>
    </w:rPr>
  </w:style>
  <w:style w:type="character" w:styleId="Lienhypertexte">
    <w:name w:val="Hyperlink"/>
    <w:basedOn w:val="Policepardfaut"/>
    <w:uiPriority w:val="99"/>
    <w:unhideWhenUsed/>
    <w:rsid w:val="00307F1D"/>
    <w:rPr>
      <w:color w:val="0000FF"/>
      <w:u w:val="single"/>
    </w:rPr>
  </w:style>
  <w:style w:type="paragraph" w:styleId="Paragraphedeliste">
    <w:name w:val="List Paragraph"/>
    <w:basedOn w:val="Normal"/>
    <w:uiPriority w:val="34"/>
    <w:qFormat/>
    <w:rsid w:val="00F26CC3"/>
    <w:pPr>
      <w:ind w:left="720"/>
      <w:contextualSpacing/>
    </w:p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ducotedelascienc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usaerons.fr/"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s://projetco2.fr/"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www.theguardian.com/education/2021/jul/06/gavin-williamson-announces-end-to-covid-bubbles-in-schools-in-england" TargetMode="External"/><Relationship Id="rId2" Type="http://schemas.openxmlformats.org/officeDocument/2006/relationships/hyperlink" Target="https://twitter.com/Ecole_Oubliee/status/1409940590138101770?s=20" TargetMode="External"/><Relationship Id="rId1" Type="http://schemas.openxmlformats.org/officeDocument/2006/relationships/hyperlink" Target="https://www.theguardian.com/politics/live/2021/jun/29/uk-covid-live-news-latest-updates-schools?CMP=share_btn_tw&amp;page=with:block-60db02dd8f08a0630603d7ca" TargetMode="External"/><Relationship Id="rId4" Type="http://schemas.openxmlformats.org/officeDocument/2006/relationships/hyperlink" Target="https://www.tandfonline.com/doi/full/10.1080/02786826.2021.187725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naqFerJ9e/unucXpQD1pmQegCQ==">AMUW2mW6JZXYMKj+5x2iki5fRD3g4LQqe8W36eZv4GTsH1JFwh+WBBiGxHmZIGUm9uO6Gm/fGri3C/sacA6snC86JxDY/Vzbdrl837WsrFdYb56jLlK4x6PxKxfMjC2w6Uk/zXolPXPjo+ZpX0NbgZI1mq4dWNSouJLFKAYv75atSTCMUZ6pNyQaefMmDYH1VWreQ//QHQgET2jxaA5V8xYCK4XN7Q3BGUqc+lDCR888FlCk/JgKCx90Njs95vwh/F2Y9WLyP3pqTKwJPkliJDJnmetgtE7smSi5zDeDtmzuSOYlmJ1DebDu9G8LvlEsFKwrzY3yoARK4xFthhDR6bTur5C8CEQYF6uNK5dnRPP+EUAofsNRcjiq+iiI6+bKAaCmBNmamxiMWP6fThKcsJMg56/LM9yObZbEwV0bPjVR9VCEMeRQH2dvUt8xPgH61HvDn+xmU5JaZULKpyFrtgCwq9IBn3VFPADmJ+usuAU1XWoeTLUBkQAQGEeoYFl7M44qfwE5ykNUkC6MMty9rnynE/9ilTufntzyIjO99wMrW4AaOIVuMEl9bLOcGupVbWlA6QjdJy1RcASFQcB+Cqz1P8kcMJ3qk0hW3BNf7q0keLKh59W5ZzW+6d/mwHBpMTULPosMOeTgQtcvNHlYzHd5x4owDjEPIlV0IbyFeRUjY6jVTI45pdjdKWjbRHr0EvVoNqUV2E698qQfwgs2kcbs4S2a+jlAhNZy1qrKkmh5FDoRUTNzoFjh6IdkK+ioujin6OsPg/pzAc245AzpIfE47mQzGhxmLgwXsBRw++0HTaRV7aMDAtXy4KDp7k2WCb4XRl6OWKZVxno5ohi3KH4dVTGV4gtKH4/cvUsjQH4kIpx+5JfeLdSi6blSchSuxD37SwbtctU6PJ9RMytpJegsJRlwPYRxbezpX0RPrOeHU9v3gz1MY1Frzyre/OQ7ZC878NECqSzyY3M4jXgzIz7FjSiQU9PD8yfXEG8ifs09FI8hY7FObY9qSYiMdBVJpHZCO82B1TuXwWNwTIptZgoJStuYf9eJLoRwfkqR+AlwrV/BKuUorvBaMtw6inpyhESca+wayDTNnC3h46RHCr5M69Roz61CtbO+fx70db25hb33EM1Csi4jUCbQuuxmh8kdYYuPtT5xTPm/nm9TZbQ9Rk97LkiBMc0vraZl0NtcatBKf2w8xzpnfrdAYZJgn0oPZoyR0sTBcv2KrynaR1RoLQKBFdwEFk1Ve9hnf03Y9SXWV6Dadt2Sler2cStUH4dXRJ4KPrE7ciZ3TJjjqXmyvv64dHBch+qN0djIXJtzD499dm2hJA+S9Kf98wYbbsUQva75z9VTrskbxMHthreiOz/ZGFHI2h+EH/mATlLtv92/P8l2xfr0ua3KJXgg335G0pZJlu27TxXb1AXoFV8jvTYEEb7+Iq0qlT7q+15kgManyLTWgiffR4yS/+u0QjwcNZ9Vk6OKKCSDt0NedEA/UaCMTGhdzuyPRtxwCbnmYU/MT0T8VHHwWKLE1Kskfck+LiXZOwaP</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70ACF1-A74A-4D2C-B620-E9CFD671D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992</Words>
  <Characters>5462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CENTRE TECHNIQUE DU PAPIER</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gensollen</dc:creator>
  <cp:lastModifiedBy>ZENO Elisa</cp:lastModifiedBy>
  <cp:revision>3</cp:revision>
  <dcterms:created xsi:type="dcterms:W3CDTF">2021-07-21T07:26:00Z</dcterms:created>
  <dcterms:modified xsi:type="dcterms:W3CDTF">2021-07-21T07:31:00Z</dcterms:modified>
</cp:coreProperties>
</file>